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4"/>
        <w:spacing w:before="156" w:after="156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学校卫生管理评价记分表</w:t>
      </w:r>
    </w:p>
    <w:p>
      <w:pPr>
        <w:pStyle w:val="5"/>
        <w:ind w:firstLine="0" w:firstLineChars="0"/>
        <w:rPr>
          <w:rFonts w:hint="eastAsia"/>
        </w:rPr>
      </w:pPr>
      <w:r>
        <w:rPr>
          <w:rFonts w:eastAsia="仿宋_GB2312"/>
        </w:rPr>
        <w:t>综合评价总得分：___</w:t>
      </w:r>
      <w:r>
        <w:rPr>
          <w:rFonts w:eastAsia="仿宋_GB2312"/>
          <w:u w:val="single"/>
        </w:rPr>
        <w:t>_</w:t>
      </w:r>
      <w:r>
        <w:rPr>
          <w:rFonts w:hint="eastAsia" w:eastAsia="仿宋_GB2312"/>
          <w:u w:val="single"/>
        </w:rPr>
        <w:t xml:space="preserve">  </w:t>
      </w:r>
      <w:r>
        <w:rPr>
          <w:rFonts w:eastAsia="仿宋_GB2312"/>
          <w:u w:val="single"/>
        </w:rPr>
        <w:t>_</w:t>
      </w:r>
      <w:r>
        <w:rPr>
          <w:rFonts w:eastAsia="仿宋_GB2312"/>
        </w:rPr>
        <w:t xml:space="preserve">分  </w:t>
      </w:r>
      <w:r>
        <w:rPr>
          <w:rFonts w:hint="eastAsia" w:eastAsia="仿宋_GB2312"/>
        </w:rPr>
        <w:t xml:space="preserve"> </w:t>
      </w:r>
      <w:r>
        <w:rPr>
          <w:rFonts w:eastAsia="仿宋_GB2312"/>
        </w:rPr>
        <w:t>判定等级：</w:t>
      </w:r>
      <w:r>
        <w:rPr>
          <w:rFonts w:eastAsia="仿宋_GB2312"/>
          <w:u w:val="single"/>
        </w:rPr>
        <w:t>_</w:t>
      </w:r>
      <w:r>
        <w:rPr>
          <w:rFonts w:hint="eastAsia" w:eastAsia="仿宋_GB2312"/>
          <w:u w:val="single"/>
        </w:rPr>
        <w:t xml:space="preserve">   </w:t>
      </w:r>
      <w:r>
        <w:rPr>
          <w:rFonts w:eastAsia="仿宋_GB2312"/>
          <w:u w:val="single"/>
        </w:rPr>
        <w:t>_</w:t>
      </w:r>
      <w:r>
        <w:rPr>
          <w:rFonts w:eastAsia="仿宋_GB2312"/>
        </w:rPr>
        <w:t>____（</w:t>
      </w:r>
      <w:r>
        <w:rPr>
          <w:rFonts w:hint="eastAsia" w:eastAsia="仿宋_GB2312"/>
        </w:rPr>
        <w:t>示范学校，合格学校，待改进学校</w:t>
      </w:r>
      <w:r>
        <w:rPr>
          <w:rFonts w:eastAsia="仿宋_GB2312"/>
        </w:rPr>
        <w:t>）</w:t>
      </w:r>
    </w:p>
    <w:tbl>
      <w:tblPr>
        <w:tblStyle w:val="3"/>
        <w:tblW w:w="90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06"/>
        <w:gridCol w:w="4590"/>
        <w:gridCol w:w="731"/>
        <w:gridCol w:w="367"/>
        <w:gridCol w:w="440"/>
        <w:gridCol w:w="13"/>
        <w:gridCol w:w="15"/>
        <w:gridCol w:w="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70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学校名称：</w:t>
            </w:r>
          </w:p>
        </w:tc>
        <w:tc>
          <w:tcPr>
            <w:tcW w:w="2423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670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地址：                                         联系电话：</w:t>
            </w:r>
          </w:p>
        </w:tc>
        <w:tc>
          <w:tcPr>
            <w:tcW w:w="2423" w:type="dxa"/>
            <w:gridSpan w:val="6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评价日期：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项目（100分）</w:t>
            </w:r>
          </w:p>
        </w:tc>
        <w:tc>
          <w:tcPr>
            <w:tcW w:w="4590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350" w:firstLineChars="7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评价指标</w:t>
            </w:r>
          </w:p>
        </w:tc>
        <w:tc>
          <w:tcPr>
            <w:tcW w:w="731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1692" w:type="dxa"/>
            <w:gridSpan w:val="5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350" w:firstLineChars="7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单项</w:t>
            </w:r>
          </w:p>
        </w:tc>
        <w:tc>
          <w:tcPr>
            <w:tcW w:w="885" w:type="dxa"/>
            <w:gridSpan w:val="3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突发公共卫生事件管理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459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建立校长为第一责任人制度</w:t>
            </w:r>
          </w:p>
        </w:tc>
        <w:tc>
          <w:tcPr>
            <w:tcW w:w="73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</w:t>
            </w:r>
            <w:r>
              <w:rPr>
                <w:rFonts w:ascii="宋体" w:hAnsi="宋体"/>
                <w:sz w:val="18"/>
                <w:szCs w:val="18"/>
              </w:rPr>
              <w:t>突发公共卫生事件应急处</w:t>
            </w:r>
            <w:r>
              <w:rPr>
                <w:rFonts w:hint="eastAsia" w:ascii="宋体" w:hAnsi="宋体"/>
                <w:sz w:val="18"/>
                <w:szCs w:val="18"/>
              </w:rPr>
              <w:t>理</w:t>
            </w:r>
            <w:r>
              <w:rPr>
                <w:rFonts w:ascii="宋体" w:hAnsi="宋体"/>
                <w:sz w:val="18"/>
                <w:szCs w:val="18"/>
              </w:rPr>
              <w:t>领导小组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制定学</w:t>
            </w:r>
            <w:r>
              <w:rPr>
                <w:rFonts w:ascii="宋体" w:hAnsi="宋体"/>
                <w:sz w:val="18"/>
                <w:szCs w:val="18"/>
              </w:rPr>
              <w:t>校突发公共卫生事件应急处理预案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</w:t>
            </w:r>
            <w:r>
              <w:rPr>
                <w:rFonts w:ascii="宋体" w:hAnsi="宋体"/>
                <w:sz w:val="18"/>
                <w:szCs w:val="18"/>
              </w:rPr>
              <w:t>突发公共卫生事件报告</w:t>
            </w:r>
            <w:r>
              <w:rPr>
                <w:rFonts w:hint="eastAsia" w:ascii="宋体" w:hAnsi="宋体"/>
                <w:sz w:val="18"/>
                <w:szCs w:val="18"/>
              </w:rPr>
              <w:t>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有专职或兼职报告人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定期（每学期1次）开展防控突发公共卫生事件宣传教育活动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每学年开展一次突发公共事件应对演练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因校方责任发生的其它突发公共卫生事件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传染病预防控制管理（15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45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有校长为第一责任人的传染病预防控制工作小组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有传染病疫情报告制度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有专人负责疫情报告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有晨检制度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有学生因病缺勤登记、追踪制度和复课证明查验制度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有新生入学接种卡、证查验制度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定期（每学期1次）开展预防传染病知识的宣传活动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寄宿制或600名学生以上非寄宿学校配备卫生专业技术人员；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600名以下非寄宿学校配备保健教师或卫生 专业技术人员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寄宿学校应设立卫生室，非寄宿学校视规模设卫生室或保健室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因校方责任发生传染病暴发流行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常见病与多发病管理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建立学生健康体检档案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建立体检异常学生登记记录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建立体检结果向家长反馈制度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制定学生常见病与多发病防治计划、措施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开展预防近视专题宣传活动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每年实施1次学生健康体检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定期（每学期1次）开展健康生活方式、营养和慢性病预防知识教育和宣传活动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0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校医院、卫生所、卫生室、医务室有《医疗机构执业许可证》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生活饮用水卫生管理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集中式供水依法取得卫生许可证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105" w:left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二次供水蓄水设施定期（每年1次）清洗、消毒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105" w:left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分散式供水有卫生安全防护设施并对水质进行消毒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建立供水卫生管理制度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涉水产品符合相关卫生要求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配备专（兼）职供水人员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水质监测频率符合当地规定要求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供水人员持健康证明上岗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供应饮用水水质符合卫生要求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因校方责任发生校内生活饮用水污染事故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教室环境卫生管理（15分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课桌椅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（3分）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每间教室内最少设2种不同型号的课桌椅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每人1席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黑板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无破损 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眩</w:t>
            </w:r>
            <w:r>
              <w:rPr>
                <w:rFonts w:hint="eastAsia" w:ascii="宋体" w:hAnsi="宋体"/>
                <w:sz w:val="18"/>
                <w:szCs w:val="18"/>
              </w:rPr>
              <w:t>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教室采光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教室墙壁和顶棚为白色或浅色，窗户为无色透明玻璃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单侧采光光线应从座位左侧入，双采光主采光窗应设在左侧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教室照明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（4分）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灯管垂直黑板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控照式灯具，不宜用裸灯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微小气候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教室应设通气窗，寒冷地区应有采暖设备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噪声（1分）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教室不受音乐室等外界环境干扰  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监测报告有效 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※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监测频</w:t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率符合规定（1次以上/2年）（1分）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生活环境卫生管理（9分）</w:t>
            </w:r>
          </w:p>
        </w:tc>
        <w:tc>
          <w:tcPr>
            <w:tcW w:w="1106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厕所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459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教学楼每层设厕所，室内厕所有洗手设备</w:t>
            </w:r>
          </w:p>
        </w:tc>
        <w:tc>
          <w:tcPr>
            <w:tcW w:w="73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独立设置的厕所与生活饮用水</w:t>
            </w:r>
            <w:r>
              <w:rPr>
                <w:rFonts w:hint="eastAsia" w:ascii="宋体" w:hAnsi="宋体"/>
                <w:sz w:val="18"/>
                <w:szCs w:val="18"/>
              </w:rPr>
              <w:t>水源和食堂相距30米以上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※※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无蝇、蛆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学生宿舍（6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男、女生宿舍分区或分单元布置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不设在地下室或半地下室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保证学生一人一床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保证通风良好（寒冷地区宿舍应设有换气窗）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宿舍内设有厕所、盥洗设施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有卫生管理制度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公共场所卫生管理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公共浴池（4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依法取得卫生许可证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从业人员有健康证明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有浴室卫生消毒制度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监测报告有效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监测频</w:t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率（1次以上/年）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游泳馆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依法取得</w:t>
            </w:r>
            <w:r>
              <w:rPr>
                <w:rFonts w:hint="eastAsia" w:ascii="宋体" w:hAnsi="宋体"/>
                <w:sz w:val="18"/>
                <w:szCs w:val="18"/>
              </w:rPr>
              <w:t>卫生许可证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建立健全卫生管理制度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游泳场所的通道及卫生设施应定期消毒、保持清洁、无异味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监测频</w:t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率符合规定（1次以上/年）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体育馆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馆内环境清洁卫生、禁止吸烟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监测频率符合规定（</w:t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1次以上/年）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图书馆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馆内采用湿式清扫，保持馆内整洁</w:t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Style w:val="6"/>
                <w:rFonts w:ascii="宋体" w:hAnsi="宋体"/>
                <w:sz w:val="18"/>
                <w:szCs w:val="18"/>
              </w:rPr>
              <w:t>禁止吸烟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监测频率符合规定（1次以上/年）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学校食品安全管理（20分）</w:t>
            </w:r>
          </w:p>
        </w:tc>
        <w:tc>
          <w:tcPr>
            <w:tcW w:w="11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学生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食堂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（15分）</w:t>
            </w:r>
          </w:p>
        </w:tc>
        <w:tc>
          <w:tcPr>
            <w:tcW w:w="45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食品安全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监督</w:t>
            </w:r>
            <w:r>
              <w:rPr>
                <w:rFonts w:ascii="宋体" w:hAnsi="宋体"/>
                <w:bCs/>
                <w:sz w:val="18"/>
                <w:szCs w:val="18"/>
              </w:rPr>
              <w:t>量化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分级管理</w:t>
            </w:r>
            <w:r>
              <w:rPr>
                <w:rFonts w:ascii="宋体" w:hAnsi="宋体"/>
                <w:bCs/>
                <w:sz w:val="18"/>
                <w:szCs w:val="18"/>
              </w:rPr>
              <w:t>A级，得15分；B级，得12分；C级，得9分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无有效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食品经营许可证或</w:t>
            </w:r>
            <w:r>
              <w:rPr>
                <w:rFonts w:ascii="宋体" w:hAnsi="宋体"/>
                <w:bCs/>
                <w:sz w:val="18"/>
                <w:szCs w:val="18"/>
              </w:rPr>
              <w:t>餐饮服务许可证，得0分。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超市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（食杂店）（5分）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持有效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食品经营许可证或</w:t>
            </w:r>
            <w:r>
              <w:rPr>
                <w:rFonts w:ascii="宋体" w:hAnsi="宋体"/>
                <w:bCs/>
                <w:sz w:val="18"/>
                <w:szCs w:val="18"/>
              </w:rPr>
              <w:t>食品流通许可证，且在12个月内没有受到过食品安全方面的行政处罚，得5分；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持有效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食品经营许可证或</w:t>
            </w:r>
            <w:r>
              <w:rPr>
                <w:rFonts w:ascii="宋体" w:hAnsi="宋体"/>
                <w:bCs/>
                <w:sz w:val="18"/>
                <w:szCs w:val="18"/>
              </w:rPr>
              <w:t>食品流通许可证，在12个月内受到过食品安全方面的行政处罚，得3分；</w:t>
            </w:r>
          </w:p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无有效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食品经营许可证或</w:t>
            </w:r>
            <w:r>
              <w:rPr>
                <w:rFonts w:ascii="宋体" w:hAnsi="宋体"/>
                <w:bCs/>
                <w:sz w:val="18"/>
                <w:szCs w:val="18"/>
              </w:rPr>
              <w:t>食品流通许可证，得0分。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因校方责任发生集体性食品安全事故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※※</w:t>
            </w:r>
          </w:p>
        </w:tc>
        <w:tc>
          <w:tcPr>
            <w:tcW w:w="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93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合理缺项项目总分______分     管理应得分______分     管理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实得分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______分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标化后得分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093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※为重要指标，若该指标不合格，本项目不得分。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※※为关键指标，若该指标不合格，直接评价该校为学校卫生待改进。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教室环境卫生管理项目中各指标得分应为抽样检查教室数的平均分。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有合理缺项时，总分中减掉该项目分值后，为应得分。即：管理应得分=100-合理缺项项目总分。</w:t>
            </w:r>
          </w:p>
          <w:p>
            <w:pPr>
              <w:spacing w:line="240" w:lineRule="exact"/>
              <w:jc w:val="left"/>
              <w:rPr>
                <w:rFonts w:hint="eastAsia" w:hAnsi="宋体" w:cs="宋体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如缺少学生宿舍，总分值中应减掉学生宿舍的单项分值。标化后得分=（各项实际得分的总合/应得分）×100。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2252"/>
    <w:rsid w:val="097D2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表标题"/>
    <w:basedOn w:val="1"/>
    <w:next w:val="5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/>
      <w:sz w:val="21"/>
      <w:szCs w:val="22"/>
      <w:lang w:val="en-US" w:eastAsia="zh-CN" w:bidi="ar-SA"/>
    </w:rPr>
  </w:style>
  <w:style w:type="character" w:customStyle="1" w:styleId="6">
    <w:name w:val="style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2017-06-05T06:25:00Z</dcterms:created>
  <dc:creator>Administrator</dc:creator>
  <cp:lastModifiedBy>Administrator</cp:lastModifiedBy>
  <dcterms:modified xsi:type="dcterms:W3CDTF">2017-06-05T06:25:49Z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