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jc w:val="both"/>
        <w:rPr>
          <w:rFonts w:hAnsi="黑体"/>
          <w:kern w:val="0"/>
          <w:sz w:val="32"/>
          <w:szCs w:val="32"/>
        </w:rPr>
      </w:pPr>
      <w:r>
        <w:rPr>
          <w:rFonts w:hint="eastAsia" w:hAnsi="黑体"/>
          <w:kern w:val="0"/>
          <w:sz w:val="32"/>
          <w:szCs w:val="32"/>
        </w:rPr>
        <w:t>附件2</w:t>
      </w:r>
    </w:p>
    <w:p>
      <w:pPr>
        <w:pStyle w:val="4"/>
        <w:spacing w:before="156" w:after="156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学校卫生监测评价记分表</w:t>
      </w:r>
    </w:p>
    <w:tbl>
      <w:tblPr>
        <w:tblStyle w:val="3"/>
        <w:tblW w:w="9243" w:type="dxa"/>
        <w:jc w:val="center"/>
        <w:tblInd w:w="50" w:type="dxa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84"/>
        <w:gridCol w:w="3581"/>
        <w:gridCol w:w="2244"/>
        <w:gridCol w:w="549"/>
        <w:gridCol w:w="383"/>
        <w:gridCol w:w="373"/>
        <w:gridCol w:w="421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2" w:hRule="atLeast"/>
          <w:jc w:val="center"/>
        </w:trPr>
        <w:tc>
          <w:tcPr>
            <w:tcW w:w="525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学校名称：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" w:hRule="atLeast"/>
          <w:jc w:val="center"/>
        </w:trPr>
        <w:tc>
          <w:tcPr>
            <w:tcW w:w="525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地址：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05" w:hRule="atLeast"/>
          <w:jc w:val="center"/>
        </w:trPr>
        <w:tc>
          <w:tcPr>
            <w:tcW w:w="5255" w:type="dxa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抽样监测教室数：</w:t>
            </w:r>
          </w:p>
        </w:tc>
        <w:tc>
          <w:tcPr>
            <w:tcW w:w="3970" w:type="dxa"/>
            <w:gridSpan w:val="5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评价日期：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0" w:hRule="atLeast"/>
          <w:jc w:val="center"/>
        </w:trPr>
        <w:tc>
          <w:tcPr>
            <w:tcW w:w="1674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项目（100分）</w:t>
            </w:r>
          </w:p>
        </w:tc>
        <w:tc>
          <w:tcPr>
            <w:tcW w:w="358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260" w:firstLineChars="70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评价指标</w:t>
            </w:r>
          </w:p>
        </w:tc>
        <w:tc>
          <w:tcPr>
            <w:tcW w:w="2244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549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56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单项</w:t>
            </w:r>
          </w:p>
        </w:tc>
        <w:tc>
          <w:tcPr>
            <w:tcW w:w="42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6" w:hRule="atLeast"/>
          <w:jc w:val="center"/>
        </w:trPr>
        <w:tc>
          <w:tcPr>
            <w:tcW w:w="167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生活饮用水监测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pacing w:val="-4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spacing w:val="-4"/>
                <w:sz w:val="18"/>
                <w:szCs w:val="18"/>
              </w:rPr>
              <w:t>）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细菌总数、总大肠菌群、消毒剂余量、色度、浑浊度、臭和味、肉眼可见物、pH及当地根据水源水质实际情况增加的其他项目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其中一项指标不合格整项不得分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56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3" w:hRule="atLeast"/>
          <w:jc w:val="center"/>
        </w:trPr>
        <w:tc>
          <w:tcPr>
            <w:tcW w:w="167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监测频率符合当地规定要求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7" w:hRule="atLeast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教室环境卫生监测（60分）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left="180" w:hanging="180" w:hangingChars="1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人均面积</w:t>
            </w:r>
          </w:p>
          <w:p>
            <w:pPr>
              <w:spacing w:line="240" w:lineRule="exact"/>
              <w:ind w:left="180" w:hanging="180" w:hanging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 ≥1.36m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hint="eastAsia" w:ascii="宋体" w:hAnsi="宋体"/>
                <w:sz w:val="18"/>
                <w:szCs w:val="18"/>
              </w:rPr>
              <w:t>、1.15m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-1.36 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、＜1.15m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≥1.36 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得满分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1.15m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-1.36m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得5分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＜1.15m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 xml:space="preserve">2            </w:t>
            </w:r>
            <w:r>
              <w:rPr>
                <w:rFonts w:hint="eastAsia" w:ascii="宋体" w:hAnsi="宋体"/>
                <w:sz w:val="18"/>
                <w:szCs w:val="18"/>
              </w:rPr>
              <w:t>不得分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5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75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left="180" w:hanging="180" w:hanging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 ≥1.39m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、1.22m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-1.39m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、＜1.22m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≥1.39 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得满分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1.22m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-1.39m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得5分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＜1.22m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 xml:space="preserve">2            </w:t>
            </w:r>
            <w:r>
              <w:rPr>
                <w:rFonts w:hint="eastAsia" w:ascii="宋体" w:hAnsi="宋体"/>
                <w:sz w:val="18"/>
                <w:szCs w:val="18"/>
              </w:rPr>
              <w:t>不得分</w:t>
            </w:r>
          </w:p>
        </w:tc>
        <w:tc>
          <w:tcPr>
            <w:tcW w:w="5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41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课桌椅分配符合率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≥80 ％、79％-40 ％、＜40 ％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≥80 ％      得满分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79％-40 ％   得5分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＜40 ％ 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56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（10）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尺寸≥1m×3.6m（小学）</w:t>
            </w:r>
          </w:p>
          <w:p>
            <w:pPr>
              <w:spacing w:line="24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≥1m×4.0m（中学）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弧形黑板的长度按照玄长测量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下缘与讲台地面的垂直距离 0.8-0.9m（小学）              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1.0-1.1m（中学）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不在此范围不得分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反射比0.15-0.2  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≥0.2   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教室采光（10分）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采光系数≥2.0％     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＜2.0％ 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窗地面积比 ≥1：5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＜1：5  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后（侧）墙壁反射比0.7-0.8 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＜0.7   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教室照明（10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课桌面照度≥300Lx 、课桌面照度200Lx-300Lx、课桌面照度＜200Lx  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≥300Lx      得满分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200Lx -300Lx 得3分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＜200Lx 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灯桌间距≥1.7m      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＜1.7m 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黑板面照度≥500Lx      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＜500Lx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微小气候（4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二氧化碳≤0.15％ </w:t>
            </w:r>
            <w:r>
              <w:rPr>
                <w:rFonts w:hint="eastAsia" w:ascii="宋体" w:hAnsi="宋体"/>
                <w:sz w:val="18"/>
                <w:szCs w:val="18"/>
                <w:vertAlign w:val="subscript"/>
              </w:rPr>
              <w:t xml:space="preserve">                   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＞0.15％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室温16℃以上（冬季采暖地区）   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＜16℃      </w:t>
            </w:r>
            <w:r>
              <w:rPr>
                <w:rFonts w:hint="eastAsia" w:ascii="宋体" w:hAnsi="宋体" w:cs="宋体"/>
                <w:spacing w:val="-20"/>
                <w:kern w:val="0"/>
                <w:sz w:val="18"/>
                <w:szCs w:val="18"/>
              </w:rPr>
              <w:t>不 得 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噪声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外环境对普通教室产生的噪声≤50dB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＞50dB 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两排教室相对长边距≥25m           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＜25m       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监测频</w:t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率为每2年1次</w:t>
            </w:r>
            <w:r>
              <w:rPr>
                <w:rFonts w:hint="eastAsia" w:ascii="宋体" w:hAnsi="宋体"/>
                <w:sz w:val="18"/>
                <w:szCs w:val="18"/>
              </w:rPr>
              <w:t>（2分）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一项未测    </w:t>
            </w:r>
            <w:r>
              <w:rPr>
                <w:rFonts w:hint="eastAsia" w:ascii="宋体" w:hAnsi="宋体"/>
                <w:sz w:val="18"/>
                <w:szCs w:val="18"/>
              </w:rPr>
              <w:t>不得分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生活环境卫生监测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884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厕所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358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每蹲位≤40人 （男生）       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＞40人      不得分</w:t>
            </w:r>
          </w:p>
        </w:tc>
        <w:tc>
          <w:tcPr>
            <w:tcW w:w="54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每蹲位≤13人 （女生）</w:t>
            </w: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＞13人      不得分</w:t>
            </w:r>
          </w:p>
        </w:tc>
        <w:tc>
          <w:tcPr>
            <w:tcW w:w="5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0.6米长小便槽≤20人 （或20人设1个小便斗）</w:t>
            </w: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＞20人      不得分</w:t>
            </w:r>
          </w:p>
        </w:tc>
        <w:tc>
          <w:tcPr>
            <w:tcW w:w="5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小学厕所蹲位宽度≤18㎝         </w:t>
            </w: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＞18㎝      不得分</w:t>
            </w:r>
          </w:p>
        </w:tc>
        <w:tc>
          <w:tcPr>
            <w:tcW w:w="5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学生宿舍（4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人均使用面积≥3.0m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 xml:space="preserve">2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＜3.0m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 xml:space="preserve">2              </w:t>
            </w:r>
            <w:r>
              <w:rPr>
                <w:rFonts w:hint="eastAsia" w:ascii="宋体" w:hAnsi="宋体"/>
                <w:sz w:val="18"/>
                <w:szCs w:val="18"/>
              </w:rPr>
              <w:t>不得分</w:t>
            </w:r>
          </w:p>
        </w:tc>
        <w:tc>
          <w:tcPr>
            <w:tcW w:w="5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盥洗室门与居室门间距离≤20m   </w:t>
            </w:r>
          </w:p>
        </w:tc>
        <w:tc>
          <w:tcPr>
            <w:tcW w:w="22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＞20m        不得分</w:t>
            </w:r>
          </w:p>
        </w:tc>
        <w:tc>
          <w:tcPr>
            <w:tcW w:w="549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ind w:firstLine="0" w:firstLineChars="0"/>
        <w:rPr>
          <w:rFonts w:hint="eastAsia" w:ascii="Times New Roman"/>
          <w:kern w:val="2"/>
          <w:szCs w:val="24"/>
        </w:rPr>
      </w:pPr>
    </w:p>
    <w:p>
      <w:pPr>
        <w:pStyle w:val="5"/>
        <w:ind w:firstLine="0" w:firstLineChars="0"/>
        <w:rPr>
          <w:rFonts w:hint="eastAsia"/>
        </w:rPr>
      </w:pPr>
    </w:p>
    <w:tbl>
      <w:tblPr>
        <w:tblStyle w:val="3"/>
        <w:tblW w:w="9067" w:type="dxa"/>
        <w:jc w:val="center"/>
        <w:tblInd w:w="13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14"/>
        <w:gridCol w:w="3592"/>
        <w:gridCol w:w="1949"/>
        <w:gridCol w:w="557"/>
        <w:gridCol w:w="394"/>
        <w:gridCol w:w="388"/>
        <w:gridCol w:w="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621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项目（100分）</w:t>
            </w:r>
          </w:p>
        </w:tc>
        <w:tc>
          <w:tcPr>
            <w:tcW w:w="3592" w:type="dxa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评价指标</w:t>
            </w:r>
          </w:p>
        </w:tc>
        <w:tc>
          <w:tcPr>
            <w:tcW w:w="1949" w:type="dxa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557" w:type="dxa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1348" w:type="dxa"/>
            <w:gridSpan w:val="3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621" w:type="dxa"/>
            <w:gridSpan w:val="2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592" w:type="dxa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单项</w:t>
            </w:r>
          </w:p>
        </w:tc>
        <w:tc>
          <w:tcPr>
            <w:tcW w:w="566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场所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监测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公共浴池（4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5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池水浊度≤30度、室温25℃、照度≥50Lx、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二氧化碳≤0.15％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其中一项指标不合格整项不得分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监测频率1次以上/年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spacing w:line="240" w:lineRule="exact"/>
              <w:ind w:firstLine="90" w:firstLineChars="5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游泳馆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5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池水细菌总数</w:t>
            </w:r>
            <w:r>
              <w:rPr>
                <w:rFonts w:hint="eastAsia" w:ascii="宋体" w:hAnsi="宋体"/>
                <w:sz w:val="18"/>
                <w:szCs w:val="18"/>
              </w:rPr>
              <w:t>≤1 000个/mL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、大肠菌群</w:t>
            </w:r>
            <w:r>
              <w:rPr>
                <w:rFonts w:hint="eastAsia" w:ascii="宋体" w:hAnsi="宋体"/>
                <w:sz w:val="18"/>
                <w:szCs w:val="18"/>
              </w:rPr>
              <w:t>≤18个/L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、混浊度</w:t>
            </w:r>
            <w:r>
              <w:rPr>
                <w:rFonts w:hint="eastAsia" w:ascii="宋体" w:hAnsi="宋体"/>
                <w:sz w:val="18"/>
                <w:szCs w:val="18"/>
              </w:rPr>
              <w:t>≤5度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、余氯0.3-0.5㎎/L、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空气细菌数（撞击法）≤4 000 CFU/m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二氧化碳≤0.15％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其中一项指标不合格整项不得分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监测频率1次以上/年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体育馆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5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可吸入颗粒物</w:t>
            </w:r>
            <w:r>
              <w:rPr>
                <w:rFonts w:hint="eastAsia" w:ascii="宋体" w:hAnsi="宋体"/>
                <w:sz w:val="18"/>
                <w:szCs w:val="18"/>
              </w:rPr>
              <w:t>≤0.25㎎/m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、室内温度</w:t>
            </w:r>
            <w:r>
              <w:rPr>
                <w:rFonts w:hint="eastAsia" w:ascii="宋体" w:hAnsi="宋体"/>
                <w:sz w:val="18"/>
                <w:szCs w:val="18"/>
              </w:rPr>
              <w:t>≥16℃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空气细菌数 （撞击法）≤4 000 CFU /m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二氧化碳≤0.15％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其中一项指标不合格整项不得分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监测频率1次以上/年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图书馆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5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室内温度≥20℃、照度≥300Lx、噪声≤50dB、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空气细菌数（撞击法）≤2 500 CFU/m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二氧化碳≤0.10％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其中一项指标不合格整项不得分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监测频率1次以上/年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67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合理缺项项目总分______分      监测应得分______分      监测实得分______分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标化后得分_____分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67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注1：有合理缺项时，总分中减掉该项目分值后，为应得分。即：监测应得分=100-合理缺项项目总分。如缺少学生宿舍，总分值中应减掉学生宿舍的单项分值。标化后得分=（各项实际得分的总合/应得分）×100。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E1955"/>
    <w:rsid w:val="52EE1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表标题"/>
    <w:basedOn w:val="1"/>
    <w:next w:val="5"/>
    <w:uiPriority w:val="0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/>
      <w:sz w:val="21"/>
      <w:szCs w:val="22"/>
      <w:lang w:val="en-US" w:eastAsia="zh-CN" w:bidi="ar-SA"/>
    </w:rPr>
  </w:style>
  <w:style w:type="character" w:customStyle="1" w:styleId="6">
    <w:name w:val="style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2017-06-05T06:26:00Z</dcterms:created>
  <dc:creator>Administrator</dc:creator>
  <cp:lastModifiedBy>Administrator</cp:lastModifiedBy>
  <dcterms:modified xsi:type="dcterms:W3CDTF">2017-06-05T06:27:22Z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